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2509A6">
        <w:trPr>
          <w:trHeight w:val="2127"/>
        </w:trPr>
        <w:tc>
          <w:tcPr>
            <w:tcW w:w="9497" w:type="dxa"/>
            <w:tcBorders>
              <w:top w:val="nil"/>
              <w:left w:val="nil"/>
              <w:bottom w:val="nil"/>
              <w:right w:val="nil"/>
            </w:tcBorders>
            <w:shd w:val="clear" w:color="auto" w:fill="4F81BD"/>
          </w:tcPr>
          <w:bookmarkEnd w:id="0"/>
          <w:p w14:paraId="4F5C1D1C" w14:textId="4EE1B0EA" w:rsidR="00A347A0" w:rsidRPr="008241FF" w:rsidRDefault="005374D3" w:rsidP="00A347A0">
            <w:pPr>
              <w:spacing w:before="240" w:line="400" w:lineRule="exact"/>
              <w:jc w:val="center"/>
              <w:rPr>
                <w:rFonts w:asciiTheme="minorHAnsi" w:hAnsiTheme="minorHAnsi" w:cstheme="minorHAnsi"/>
                <w:b/>
                <w:bCs/>
                <w:color w:val="FFFFFF" w:themeColor="background1"/>
                <w:sz w:val="44"/>
                <w:szCs w:val="44"/>
              </w:rPr>
            </w:pPr>
            <w:r w:rsidRPr="005374D3">
              <w:rPr>
                <w:rFonts w:asciiTheme="minorHAnsi" w:hAnsiTheme="minorHAnsi" w:cstheme="minorHAnsi"/>
                <w:b/>
                <w:bCs/>
                <w:color w:val="FFFFFF" w:themeColor="background1"/>
                <w:sz w:val="44"/>
                <w:szCs w:val="44"/>
              </w:rPr>
              <w:t>Leveraging Hong Kong's Uniqueness to Develop Family Offices</w:t>
            </w:r>
          </w:p>
          <w:p w14:paraId="02298CBC" w14:textId="5B3316B6" w:rsidR="00AF226D" w:rsidRPr="00AF226D" w:rsidRDefault="008241FF" w:rsidP="005374D3">
            <w:pPr>
              <w:pStyle w:val="ab"/>
              <w:ind w:leftChars="0"/>
              <w:jc w:val="center"/>
              <w:rPr>
                <w:rFonts w:asciiTheme="minorHAnsi" w:hAnsiTheme="minorHAnsi" w:cstheme="minorHAnsi"/>
                <w:b/>
                <w:bCs/>
                <w:i/>
                <w:iCs/>
                <w:color w:val="FFFFFF" w:themeColor="background1"/>
                <w:sz w:val="22"/>
                <w:szCs w:val="22"/>
              </w:rPr>
            </w:pPr>
            <w:r w:rsidRPr="00AF226D">
              <w:rPr>
                <w:rFonts w:asciiTheme="minorHAnsi" w:hAnsiTheme="minorHAnsi" w:cstheme="minorHAnsi"/>
                <w:b/>
                <w:bCs/>
                <w:color w:val="FFFFFF" w:themeColor="background1"/>
                <w:sz w:val="22"/>
                <w:szCs w:val="22"/>
              </w:rPr>
              <w:t>Opening remarks:</w:t>
            </w:r>
            <w:r w:rsidRPr="00AF226D">
              <w:rPr>
                <w:rFonts w:asciiTheme="minorHAnsi" w:hAnsiTheme="minorHAnsi" w:cstheme="minorHAnsi"/>
                <w:color w:val="FFFFFF" w:themeColor="background1"/>
                <w:sz w:val="22"/>
                <w:szCs w:val="22"/>
              </w:rPr>
              <w:t xml:space="preserve"> </w:t>
            </w:r>
            <w:r w:rsidRPr="00AF226D">
              <w:rPr>
                <w:rFonts w:asciiTheme="minorHAnsi" w:hAnsiTheme="minorHAnsi" w:cstheme="minorHAnsi"/>
                <w:b/>
                <w:bCs/>
                <w:i/>
                <w:iCs/>
                <w:color w:val="FFFFFF" w:themeColor="background1"/>
                <w:sz w:val="22"/>
                <w:szCs w:val="22"/>
              </w:rPr>
              <w:t>Mr. Stephen Phillips, Director-General of Investment Promotion,</w:t>
            </w:r>
            <w:r w:rsidR="002509A6">
              <w:rPr>
                <w:rFonts w:asciiTheme="minorHAnsi" w:hAnsiTheme="minorHAnsi" w:cstheme="minorHAnsi"/>
                <w:b/>
                <w:bCs/>
                <w:i/>
                <w:iCs/>
                <w:color w:val="FFFFFF" w:themeColor="background1"/>
                <w:sz w:val="22"/>
                <w:szCs w:val="22"/>
              </w:rPr>
              <w:br/>
            </w:r>
            <w:r w:rsidRPr="00AF226D">
              <w:rPr>
                <w:rFonts w:asciiTheme="minorHAnsi" w:hAnsiTheme="minorHAnsi" w:cstheme="minorHAnsi"/>
                <w:b/>
                <w:bCs/>
                <w:i/>
                <w:iCs/>
                <w:color w:val="FFFFFF" w:themeColor="background1"/>
                <w:sz w:val="22"/>
                <w:szCs w:val="22"/>
              </w:rPr>
              <w:t xml:space="preserve"> Invest Hong Kong</w:t>
            </w:r>
          </w:p>
          <w:p w14:paraId="0763A6DC" w14:textId="08519FCC" w:rsidR="00AF226D" w:rsidRPr="002509A6" w:rsidRDefault="0065451E" w:rsidP="005374D3">
            <w:pPr>
              <w:pStyle w:val="ab"/>
              <w:ind w:leftChars="0"/>
              <w:jc w:val="center"/>
              <w:rPr>
                <w:rFonts w:asciiTheme="minorHAnsi" w:hAnsiTheme="minorHAnsi" w:cstheme="minorHAnsi"/>
                <w:b/>
                <w:bCs/>
                <w:i/>
                <w:iCs/>
                <w:color w:val="FFFFFF" w:themeColor="background1"/>
                <w:sz w:val="22"/>
                <w:szCs w:val="22"/>
              </w:rPr>
            </w:pPr>
            <w:r>
              <w:rPr>
                <w:rFonts w:asciiTheme="minorHAnsi" w:hAnsiTheme="minorHAnsi" w:cstheme="minorHAnsi"/>
                <w:b/>
                <w:bCs/>
                <w:i/>
                <w:iCs/>
                <w:color w:val="FFFFFF" w:themeColor="background1"/>
                <w:sz w:val="22"/>
                <w:szCs w:val="22"/>
              </w:rPr>
              <w:t xml:space="preserve">Speaker: </w:t>
            </w:r>
            <w:r w:rsidR="00AF226D" w:rsidRPr="00AF226D">
              <w:rPr>
                <w:rFonts w:asciiTheme="minorHAnsi" w:hAnsiTheme="minorHAnsi" w:cstheme="minorHAnsi"/>
                <w:b/>
                <w:bCs/>
                <w:i/>
                <w:iCs/>
                <w:color w:val="FFFFFF" w:themeColor="background1"/>
                <w:sz w:val="22"/>
                <w:szCs w:val="22"/>
              </w:rPr>
              <w:t xml:space="preserve">Mr. Dixon Wong, Head of Financial Services and Global Head of Family Office, </w:t>
            </w:r>
            <w:r w:rsidR="002509A6">
              <w:rPr>
                <w:rFonts w:asciiTheme="minorHAnsi" w:hAnsiTheme="minorHAnsi" w:cstheme="minorHAnsi"/>
                <w:b/>
                <w:bCs/>
                <w:i/>
                <w:iCs/>
                <w:color w:val="FFFFFF" w:themeColor="background1"/>
                <w:sz w:val="22"/>
                <w:szCs w:val="22"/>
              </w:rPr>
              <w:br/>
            </w:r>
            <w:r w:rsidR="00AF226D" w:rsidRPr="00AF226D">
              <w:rPr>
                <w:rFonts w:asciiTheme="minorHAnsi" w:hAnsiTheme="minorHAnsi" w:cstheme="minorHAnsi"/>
                <w:b/>
                <w:bCs/>
                <w:i/>
                <w:iCs/>
                <w:color w:val="FFFFFF" w:themeColor="background1"/>
                <w:sz w:val="22"/>
                <w:szCs w:val="22"/>
              </w:rPr>
              <w:t>Invest Hong Kong</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6E2C4DA0" w:rsidR="002E1C20" w:rsidRDefault="00A665EB" w:rsidP="002E1C20">
      <w:pPr>
        <w:widowControl/>
        <w:autoSpaceDE w:val="0"/>
        <w:autoSpaceDN w:val="0"/>
        <w:adjustRightInd w:val="0"/>
        <w:jc w:val="center"/>
        <w:rPr>
          <w:rFonts w:cs="Arial"/>
          <w:b/>
          <w:kern w:val="0"/>
          <w:szCs w:val="24"/>
        </w:rPr>
      </w:pPr>
      <w:r>
        <w:rPr>
          <w:rFonts w:cs="Calibri"/>
          <w:b/>
          <w:kern w:val="0"/>
          <w:szCs w:val="24"/>
        </w:rPr>
        <w:t>2</w:t>
      </w:r>
      <w:r w:rsidR="008241FF">
        <w:rPr>
          <w:rFonts w:cs="Calibri"/>
          <w:b/>
          <w:kern w:val="0"/>
          <w:szCs w:val="24"/>
        </w:rPr>
        <w:t>6 April</w:t>
      </w:r>
      <w:r>
        <w:rPr>
          <w:rFonts w:cs="Calibri"/>
          <w:b/>
          <w:kern w:val="0"/>
          <w:szCs w:val="24"/>
        </w:rPr>
        <w:t xml:space="preserve"> 2021</w:t>
      </w:r>
      <w:r w:rsidR="002E1C20" w:rsidRPr="002E1C20">
        <w:rPr>
          <w:rFonts w:cs="Calibri" w:hint="eastAsia"/>
          <w:b/>
          <w:kern w:val="0"/>
          <w:szCs w:val="24"/>
        </w:rPr>
        <w:t xml:space="preserve"> (</w:t>
      </w:r>
      <w:r w:rsidR="008241FF">
        <w:rPr>
          <w:rFonts w:cs="Calibri"/>
          <w:b/>
          <w:kern w:val="0"/>
          <w:szCs w:val="24"/>
        </w:rPr>
        <w:t>Monday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0154D4">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AF6C63">
        <w:trPr>
          <w:trHeight w:hRule="exact" w:val="413"/>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AF6C63" w:rsidRDefault="00C03100" w:rsidP="00E823DD">
            <w:pPr>
              <w:rPr>
                <w:sz w:val="18"/>
                <w:szCs w:val="18"/>
              </w:rPr>
            </w:pPr>
            <w:r w:rsidRPr="00AF6C63">
              <w:rPr>
                <w:rFonts w:ascii="Arial" w:hAnsi="Arial" w:cs="Arial"/>
                <w:sz w:val="18"/>
                <w:szCs w:val="18"/>
              </w:rPr>
              <w:t xml:space="preserve">TMA </w:t>
            </w:r>
            <w:r w:rsidR="0039778D" w:rsidRPr="00AF6C63">
              <w:rPr>
                <w:rFonts w:ascii="Arial" w:hAnsi="Arial" w:cs="Arial" w:hint="eastAsia"/>
                <w:sz w:val="18"/>
                <w:szCs w:val="18"/>
              </w:rPr>
              <w:t>I</w:t>
            </w:r>
            <w:r w:rsidR="0039778D" w:rsidRPr="00AF6C63">
              <w:rPr>
                <w:rFonts w:ascii="Arial" w:hAnsi="Arial" w:cs="Arial"/>
                <w:sz w:val="18"/>
                <w:szCs w:val="18"/>
              </w:rPr>
              <w:t>n</w:t>
            </w:r>
            <w:r w:rsidR="0039778D" w:rsidRPr="00AF6C63">
              <w:rPr>
                <w:rFonts w:ascii="Arial" w:hAnsi="Arial" w:cs="Arial" w:hint="eastAsia"/>
                <w:sz w:val="18"/>
                <w:szCs w:val="18"/>
              </w:rPr>
              <w:t xml:space="preserve">dividual </w:t>
            </w:r>
            <w:r w:rsidRPr="00AF6C63">
              <w:rPr>
                <w:rFonts w:ascii="Arial" w:hAnsi="Arial" w:cs="Arial"/>
                <w:sz w:val="18"/>
                <w:szCs w:val="18"/>
              </w:rPr>
              <w:t xml:space="preserve">members will receive </w:t>
            </w:r>
            <w:r w:rsidR="00F706E9" w:rsidRPr="00AF6C63">
              <w:rPr>
                <w:rFonts w:ascii="Arial" w:hAnsi="Arial" w:cs="Arial" w:hint="eastAsia"/>
                <w:sz w:val="18"/>
                <w:szCs w:val="18"/>
              </w:rPr>
              <w:t>1</w:t>
            </w:r>
            <w:r w:rsidR="0093141A" w:rsidRPr="00AF6C63">
              <w:rPr>
                <w:rFonts w:ascii="Arial" w:hAnsi="Arial" w:cs="Arial" w:hint="eastAsia"/>
                <w:sz w:val="18"/>
                <w:szCs w:val="18"/>
              </w:rPr>
              <w:t xml:space="preserve"> </w:t>
            </w:r>
            <w:r w:rsidRPr="00AF6C63">
              <w:rPr>
                <w:rFonts w:ascii="Arial" w:hAnsi="Arial" w:cs="Arial"/>
                <w:sz w:val="18"/>
                <w:szCs w:val="18"/>
              </w:rPr>
              <w:t>TMA</w:t>
            </w:r>
            <w:r w:rsidR="00F706E9" w:rsidRPr="00AF6C63">
              <w:rPr>
                <w:rFonts w:ascii="Arial" w:hAnsi="Arial" w:cs="Arial"/>
                <w:sz w:val="18"/>
                <w:szCs w:val="18"/>
              </w:rPr>
              <w:t xml:space="preserve"> CP</w:t>
            </w:r>
            <w:r w:rsidR="00204422" w:rsidRPr="00AF6C63">
              <w:rPr>
                <w:rFonts w:ascii="Arial" w:hAnsi="Arial" w:cs="Arial" w:hint="eastAsia"/>
                <w:sz w:val="18"/>
                <w:szCs w:val="18"/>
              </w:rPr>
              <w:t>D</w:t>
            </w:r>
            <w:r w:rsidR="00F706E9" w:rsidRPr="00AF6C63">
              <w:rPr>
                <w:rFonts w:ascii="Arial" w:hAnsi="Arial" w:cs="Arial"/>
                <w:sz w:val="18"/>
                <w:szCs w:val="18"/>
              </w:rPr>
              <w:t xml:space="preserve"> Credit</w:t>
            </w:r>
            <w:r w:rsidRPr="00AF6C63">
              <w:rPr>
                <w:rFonts w:ascii="Arial" w:hAnsi="Arial" w:cs="Arial"/>
                <w:sz w:val="18"/>
                <w:szCs w:val="18"/>
              </w:rPr>
              <w:t xml:space="preserve"> </w:t>
            </w:r>
            <w:r w:rsidRPr="00AF6C63">
              <w:rPr>
                <w:rFonts w:ascii="Arial" w:hAnsi="Arial" w:cs="Arial" w:hint="eastAsia"/>
                <w:sz w:val="18"/>
                <w:szCs w:val="18"/>
              </w:rPr>
              <w:t xml:space="preserve">upon </w:t>
            </w:r>
            <w:r w:rsidRPr="00AF6C63">
              <w:rPr>
                <w:rFonts w:ascii="Arial" w:hAnsi="Arial" w:cs="Arial"/>
                <w:sz w:val="18"/>
                <w:szCs w:val="18"/>
              </w:rPr>
              <w:t xml:space="preserve">completion of </w:t>
            </w:r>
            <w:r w:rsidRPr="00AF6C63">
              <w:rPr>
                <w:rFonts w:ascii="Arial" w:hAnsi="Arial" w:cs="Arial" w:hint="eastAsia"/>
                <w:sz w:val="18"/>
                <w:szCs w:val="18"/>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4DF783C0"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9A37D7">
              <w:rPr>
                <w:rFonts w:ascii="Arial" w:hAnsi="Arial" w:cs="Arial"/>
                <w:b/>
                <w:color w:val="FFFFFF"/>
                <w:kern w:val="0"/>
                <w:sz w:val="22"/>
              </w:rPr>
              <w:t>1</w:t>
            </w:r>
            <w:r w:rsidR="0068159C">
              <w:rPr>
                <w:rFonts w:ascii="Arial" w:hAnsi="Arial" w:cs="Arial"/>
                <w:b/>
                <w:color w:val="FFFFFF"/>
                <w:kern w:val="0"/>
                <w:sz w:val="22"/>
              </w:rPr>
              <w:t>9 April</w:t>
            </w:r>
            <w:r w:rsidR="009A37D7">
              <w:rPr>
                <w:rFonts w:ascii="Arial" w:hAnsi="Arial" w:cs="Arial"/>
                <w:b/>
                <w:color w:val="FFFFFF"/>
                <w:kern w:val="0"/>
                <w:sz w:val="22"/>
              </w:rPr>
              <w:t xml:space="preserve"> 2021</w:t>
            </w:r>
            <w:r w:rsidRPr="003D5B70">
              <w:rPr>
                <w:rFonts w:ascii="Arial" w:hAnsi="Arial" w:cs="Arial" w:hint="eastAsia"/>
                <w:b/>
                <w:color w:val="FFFFFF"/>
                <w:kern w:val="0"/>
                <w:sz w:val="22"/>
              </w:rPr>
              <w:t xml:space="preserve"> (</w:t>
            </w:r>
            <w:r w:rsidR="0068159C">
              <w:rPr>
                <w:rFonts w:ascii="Arial" w:hAnsi="Arial" w:cs="Arial"/>
                <w:b/>
                <w:color w:val="FFFFFF"/>
                <w:kern w:val="0"/>
                <w:sz w:val="22"/>
              </w:rPr>
              <w:t>Monday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597D4524"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11E4CD0E"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r w:rsidR="00E54B38">
              <w:rPr>
                <w:rFonts w:ascii="Arial" w:hAnsi="Arial" w:cs="Arial"/>
                <w:i/>
                <w:kern w:val="0"/>
                <w:sz w:val="20"/>
                <w:szCs w:val="20"/>
              </w:rPr>
              <w:br/>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AF6C63">
        <w:trPr>
          <w:trHeight w:hRule="exact" w:val="2998"/>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68742C"/>
    <w:multiLevelType w:val="hybridMultilevel"/>
    <w:tmpl w:val="68BEB4F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8"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00F31E7"/>
    <w:multiLevelType w:val="hybridMultilevel"/>
    <w:tmpl w:val="19E8227C"/>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11"/>
  </w:num>
  <w:num w:numId="4">
    <w:abstractNumId w:val="2"/>
  </w:num>
  <w:num w:numId="5">
    <w:abstractNumId w:val="10"/>
  </w:num>
  <w:num w:numId="6">
    <w:abstractNumId w:val="5"/>
  </w:num>
  <w:num w:numId="7">
    <w:abstractNumId w:val="1"/>
  </w:num>
  <w:num w:numId="8">
    <w:abstractNumId w:val="9"/>
  </w:num>
  <w:num w:numId="9">
    <w:abstractNumId w:val="0"/>
  </w:num>
  <w:num w:numId="10">
    <w:abstractNumId w:val="0"/>
  </w:num>
  <w:num w:numId="11">
    <w:abstractNumId w:val="7"/>
  </w:num>
  <w:num w:numId="12">
    <w:abstractNumId w:val="13"/>
  </w:num>
  <w:num w:numId="13">
    <w:abstractNumId w:val="8"/>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9A6"/>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374D3"/>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451E"/>
    <w:rsid w:val="006567AE"/>
    <w:rsid w:val="00656AA9"/>
    <w:rsid w:val="00657187"/>
    <w:rsid w:val="00662B48"/>
    <w:rsid w:val="0066634B"/>
    <w:rsid w:val="00672804"/>
    <w:rsid w:val="00674601"/>
    <w:rsid w:val="0068159C"/>
    <w:rsid w:val="00686DF0"/>
    <w:rsid w:val="006A02C5"/>
    <w:rsid w:val="006A1411"/>
    <w:rsid w:val="006A1CD1"/>
    <w:rsid w:val="006A1D07"/>
    <w:rsid w:val="006A7B74"/>
    <w:rsid w:val="006B49DF"/>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C6AE9"/>
    <w:rsid w:val="007E2B88"/>
    <w:rsid w:val="007F0DB5"/>
    <w:rsid w:val="007F1452"/>
    <w:rsid w:val="007F23B8"/>
    <w:rsid w:val="007F652C"/>
    <w:rsid w:val="00801D22"/>
    <w:rsid w:val="0080647E"/>
    <w:rsid w:val="0081426F"/>
    <w:rsid w:val="00814CD4"/>
    <w:rsid w:val="00816B35"/>
    <w:rsid w:val="00816C07"/>
    <w:rsid w:val="008241FF"/>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37D7"/>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347A0"/>
    <w:rsid w:val="00A4316F"/>
    <w:rsid w:val="00A47FEB"/>
    <w:rsid w:val="00A51FF9"/>
    <w:rsid w:val="00A550DF"/>
    <w:rsid w:val="00A551DA"/>
    <w:rsid w:val="00A6294B"/>
    <w:rsid w:val="00A665E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AF226D"/>
    <w:rsid w:val="00AF6C63"/>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BA8"/>
    <w:rsid w:val="00E04093"/>
    <w:rsid w:val="00E1149F"/>
    <w:rsid w:val="00E15CAD"/>
    <w:rsid w:val="00E238E0"/>
    <w:rsid w:val="00E42CC9"/>
    <w:rsid w:val="00E50579"/>
    <w:rsid w:val="00E53A57"/>
    <w:rsid w:val="00E54B38"/>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026E"/>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 w:type="paragraph" w:customStyle="1" w:styleId="Default">
    <w:name w:val="Default"/>
    <w:rsid w:val="00A347A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9</cp:revision>
  <dcterms:created xsi:type="dcterms:W3CDTF">2021-03-12T08:41:00Z</dcterms:created>
  <dcterms:modified xsi:type="dcterms:W3CDTF">2021-04-16T03:18:00Z</dcterms:modified>
</cp:coreProperties>
</file>